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D7F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320" w:firstLineChars="1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bookmarkStart w:id="0" w:name="_GoBack"/>
      <w:bookmarkEnd w:id="0"/>
      <w:r>
        <w:rPr>
          <w:rFonts w:hint="eastAsia" w:ascii="黑体" w:hAnsi="黑体" w:eastAsia="黑体" w:cs="黑体"/>
          <w:i w:val="0"/>
          <w:iCs w:val="0"/>
          <w:caps w:val="0"/>
          <w:color w:val="auto"/>
          <w:spacing w:val="0"/>
          <w:sz w:val="32"/>
          <w:szCs w:val="32"/>
          <w:highlight w:val="none"/>
          <w:shd w:val="clear" w:color="auto" w:fill="FFFFFF"/>
          <w:lang w:val="en-US" w:eastAsia="zh-CN"/>
        </w:rPr>
        <w:t>附件</w:t>
      </w:r>
    </w:p>
    <w:p w14:paraId="44C477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right="0" w:firstLine="320" w:firstLineChars="1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中山市板芙医院污水处理站外包服务采购项目需求</w:t>
      </w:r>
    </w:p>
    <w:p w14:paraId="1D2A28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kern w:val="2"/>
          <w:sz w:val="32"/>
          <w:szCs w:val="32"/>
          <w:lang w:val="en-US" w:eastAsia="zh-CN" w:bidi="ar-SA"/>
        </w:rPr>
      </w:pPr>
    </w:p>
    <w:p w14:paraId="65A106ED">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一、项目范围及内容</w:t>
      </w:r>
    </w:p>
    <w:p w14:paraId="5089D81E">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1.服务地点：中山市板芙医院</w:t>
      </w:r>
    </w:p>
    <w:p w14:paraId="2228B3B7">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2.项目范围：中山市板芙医院污水处理站外包服务采购项目</w:t>
      </w:r>
    </w:p>
    <w:p w14:paraId="1083C5A1">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项目概况：为了保护环境，执行环保部门的的规定，使中山市板芙医院污水处理站的污水进行治理至达标排放，现委托第三方对该医院的污水处理站进行投资运营管理，达到处理标准后排放至市政污水收集管道，并协助医院代办相关环保事务。</w:t>
      </w:r>
    </w:p>
    <w:p w14:paraId="4DE8BAE2">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二、服务期限</w:t>
      </w:r>
    </w:p>
    <w:p w14:paraId="04CB5D14">
      <w:pPr>
        <w:ind w:firstLine="640" w:firstLineChars="200"/>
        <w:rPr>
          <w:rFonts w:hint="default"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 xml:space="preserve"> 2026年3月1日至2028年2月29日，共2年。</w:t>
      </w:r>
    </w:p>
    <w:p w14:paraId="4B15CC3A">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服务内容</w:t>
      </w:r>
    </w:p>
    <w:p w14:paraId="124EE51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1.污水处理系统设施操作及管理工作。</w:t>
      </w:r>
    </w:p>
    <w:p w14:paraId="52D69E1B">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2.污水处理系统的设备日常保养及维护工作。</w:t>
      </w:r>
    </w:p>
    <w:p w14:paraId="69C07D2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3.协助院方办理污水相关环保事务。</w:t>
      </w:r>
    </w:p>
    <w:p w14:paraId="02DD5327">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4.污水系统升级优化。</w:t>
      </w:r>
    </w:p>
    <w:p w14:paraId="02DCC6DA">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四、报价要求</w:t>
      </w:r>
    </w:p>
    <w:p w14:paraId="36B437F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服务所需人员、材料清单</w:t>
      </w:r>
    </w:p>
    <w:tbl>
      <w:tblPr>
        <w:tblStyle w:val="8"/>
        <w:tblW w:w="877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559"/>
        <w:gridCol w:w="4109"/>
        <w:gridCol w:w="1443"/>
        <w:gridCol w:w="909"/>
      </w:tblGrid>
      <w:tr w14:paraId="0A436C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50" w:type="dxa"/>
            <w:shd w:val="clear" w:color="auto" w:fill="FFFFFF"/>
            <w:noWrap/>
            <w:vAlign w:val="center"/>
          </w:tcPr>
          <w:p w14:paraId="2F36AC01">
            <w:pPr>
              <w:bidi w:val="0"/>
              <w:spacing w:line="360" w:lineRule="auto"/>
              <w:rPr>
                <w:rFonts w:hint="eastAsia"/>
                <w:sz w:val="24"/>
                <w:szCs w:val="24"/>
              </w:rPr>
            </w:pPr>
            <w:r>
              <w:rPr>
                <w:rFonts w:hint="eastAsia"/>
                <w:sz w:val="24"/>
                <w:szCs w:val="24"/>
              </w:rPr>
              <w:t>序号</w:t>
            </w:r>
          </w:p>
        </w:tc>
        <w:tc>
          <w:tcPr>
            <w:tcW w:w="1559" w:type="dxa"/>
            <w:shd w:val="clear" w:color="auto" w:fill="FFFFFF"/>
            <w:noWrap/>
            <w:vAlign w:val="center"/>
          </w:tcPr>
          <w:p w14:paraId="6A0C64C7">
            <w:pPr>
              <w:bidi w:val="0"/>
              <w:spacing w:line="360" w:lineRule="auto"/>
              <w:rPr>
                <w:rFonts w:hint="eastAsia"/>
                <w:sz w:val="24"/>
                <w:szCs w:val="24"/>
              </w:rPr>
            </w:pPr>
            <w:r>
              <w:rPr>
                <w:rFonts w:hint="eastAsia"/>
                <w:sz w:val="24"/>
                <w:szCs w:val="24"/>
              </w:rPr>
              <w:t>费用项目</w:t>
            </w:r>
          </w:p>
        </w:tc>
        <w:tc>
          <w:tcPr>
            <w:tcW w:w="4109" w:type="dxa"/>
            <w:shd w:val="clear" w:color="auto" w:fill="FFFFFF"/>
            <w:noWrap/>
            <w:vAlign w:val="center"/>
          </w:tcPr>
          <w:p w14:paraId="43021C22">
            <w:pPr>
              <w:bidi w:val="0"/>
              <w:spacing w:line="360" w:lineRule="auto"/>
              <w:rPr>
                <w:rFonts w:hint="eastAsia"/>
                <w:sz w:val="24"/>
                <w:szCs w:val="24"/>
              </w:rPr>
            </w:pPr>
            <w:r>
              <w:rPr>
                <w:rFonts w:hint="eastAsia"/>
                <w:sz w:val="24"/>
                <w:szCs w:val="24"/>
              </w:rPr>
              <w:t>内容</w:t>
            </w:r>
          </w:p>
        </w:tc>
        <w:tc>
          <w:tcPr>
            <w:tcW w:w="1443" w:type="dxa"/>
            <w:shd w:val="clear" w:color="auto" w:fill="FFFFFF"/>
            <w:noWrap/>
            <w:vAlign w:val="center"/>
          </w:tcPr>
          <w:p w14:paraId="27502A6F">
            <w:pPr>
              <w:bidi w:val="0"/>
              <w:spacing w:line="360" w:lineRule="auto"/>
              <w:rPr>
                <w:rFonts w:hint="eastAsia"/>
                <w:sz w:val="24"/>
                <w:szCs w:val="24"/>
              </w:rPr>
            </w:pPr>
            <w:r>
              <w:rPr>
                <w:rFonts w:hint="eastAsia"/>
                <w:sz w:val="24"/>
                <w:szCs w:val="24"/>
              </w:rPr>
              <w:t>数量</w:t>
            </w:r>
          </w:p>
        </w:tc>
        <w:tc>
          <w:tcPr>
            <w:tcW w:w="909" w:type="dxa"/>
            <w:shd w:val="clear" w:color="auto" w:fill="FFFFFF"/>
            <w:noWrap w:val="0"/>
            <w:vAlign w:val="center"/>
          </w:tcPr>
          <w:p w14:paraId="448D0E02">
            <w:pPr>
              <w:bidi w:val="0"/>
              <w:spacing w:line="360" w:lineRule="auto"/>
              <w:jc w:val="center"/>
              <w:rPr>
                <w:rFonts w:hint="eastAsia"/>
                <w:sz w:val="24"/>
                <w:szCs w:val="24"/>
              </w:rPr>
            </w:pPr>
            <w:r>
              <w:rPr>
                <w:rFonts w:hint="eastAsia"/>
                <w:sz w:val="24"/>
                <w:szCs w:val="24"/>
              </w:rPr>
              <w:t>单位</w:t>
            </w:r>
          </w:p>
        </w:tc>
      </w:tr>
      <w:tr w14:paraId="45FA4A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50" w:type="dxa"/>
            <w:shd w:val="clear" w:color="auto" w:fill="FFFFFF"/>
            <w:noWrap/>
            <w:vAlign w:val="center"/>
          </w:tcPr>
          <w:p w14:paraId="393BD978">
            <w:pPr>
              <w:bidi w:val="0"/>
              <w:spacing w:line="360" w:lineRule="auto"/>
              <w:rPr>
                <w:rFonts w:hint="eastAsia"/>
                <w:sz w:val="24"/>
                <w:szCs w:val="24"/>
              </w:rPr>
            </w:pPr>
            <w:r>
              <w:rPr>
                <w:rFonts w:hint="eastAsia"/>
                <w:sz w:val="24"/>
                <w:szCs w:val="24"/>
              </w:rPr>
              <w:t>1</w:t>
            </w:r>
          </w:p>
        </w:tc>
        <w:tc>
          <w:tcPr>
            <w:tcW w:w="1559" w:type="dxa"/>
            <w:shd w:val="clear" w:color="auto" w:fill="FFFFFF"/>
            <w:noWrap/>
            <w:vAlign w:val="center"/>
          </w:tcPr>
          <w:p w14:paraId="0D4581BD">
            <w:pPr>
              <w:bidi w:val="0"/>
              <w:spacing w:line="360" w:lineRule="auto"/>
              <w:rPr>
                <w:rFonts w:hint="eastAsia"/>
                <w:sz w:val="24"/>
                <w:szCs w:val="24"/>
              </w:rPr>
            </w:pPr>
            <w:r>
              <w:rPr>
                <w:rFonts w:hint="eastAsia"/>
                <w:sz w:val="24"/>
                <w:szCs w:val="24"/>
              </w:rPr>
              <w:t>人工费</w:t>
            </w:r>
          </w:p>
        </w:tc>
        <w:tc>
          <w:tcPr>
            <w:tcW w:w="4109" w:type="dxa"/>
            <w:shd w:val="clear" w:color="auto" w:fill="FFFFFF"/>
            <w:noWrap/>
            <w:vAlign w:val="center"/>
          </w:tcPr>
          <w:p w14:paraId="70F44A5C">
            <w:pPr>
              <w:bidi w:val="0"/>
              <w:spacing w:line="360" w:lineRule="auto"/>
              <w:rPr>
                <w:rFonts w:hint="eastAsia"/>
                <w:sz w:val="24"/>
                <w:szCs w:val="24"/>
              </w:rPr>
            </w:pPr>
            <w:r>
              <w:rPr>
                <w:rFonts w:hint="eastAsia"/>
                <w:sz w:val="24"/>
                <w:szCs w:val="24"/>
              </w:rPr>
              <w:t>操作工3名（早、中、晚班各1名）</w:t>
            </w:r>
          </w:p>
        </w:tc>
        <w:tc>
          <w:tcPr>
            <w:tcW w:w="1443" w:type="dxa"/>
            <w:shd w:val="clear" w:color="auto" w:fill="FFFFFF"/>
            <w:noWrap/>
            <w:vAlign w:val="center"/>
          </w:tcPr>
          <w:p w14:paraId="0DFB04C1">
            <w:pPr>
              <w:bidi w:val="0"/>
              <w:spacing w:line="360" w:lineRule="auto"/>
              <w:rPr>
                <w:rFonts w:hint="eastAsia"/>
                <w:sz w:val="24"/>
                <w:szCs w:val="24"/>
              </w:rPr>
            </w:pPr>
            <w:r>
              <w:rPr>
                <w:rFonts w:hint="eastAsia"/>
                <w:sz w:val="24"/>
                <w:szCs w:val="24"/>
              </w:rPr>
              <w:t>不少于3人</w:t>
            </w:r>
          </w:p>
        </w:tc>
        <w:tc>
          <w:tcPr>
            <w:tcW w:w="909" w:type="dxa"/>
            <w:shd w:val="clear" w:color="auto" w:fill="FFFFFF"/>
            <w:noWrap/>
            <w:vAlign w:val="center"/>
          </w:tcPr>
          <w:p w14:paraId="6E7DD6BA">
            <w:pPr>
              <w:bidi w:val="0"/>
              <w:spacing w:line="360" w:lineRule="auto"/>
              <w:jc w:val="center"/>
              <w:rPr>
                <w:rFonts w:hint="eastAsia"/>
                <w:sz w:val="24"/>
                <w:szCs w:val="24"/>
              </w:rPr>
            </w:pPr>
            <w:r>
              <w:rPr>
                <w:rFonts w:hint="eastAsia"/>
                <w:sz w:val="24"/>
                <w:szCs w:val="24"/>
              </w:rPr>
              <w:t>人</w:t>
            </w:r>
          </w:p>
        </w:tc>
      </w:tr>
      <w:tr w14:paraId="238274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50" w:type="dxa"/>
            <w:shd w:val="clear" w:color="auto" w:fill="FFFFFF"/>
            <w:noWrap/>
            <w:vAlign w:val="center"/>
          </w:tcPr>
          <w:p w14:paraId="67956B9D">
            <w:pPr>
              <w:bidi w:val="0"/>
              <w:spacing w:line="360" w:lineRule="auto"/>
              <w:rPr>
                <w:rFonts w:hint="eastAsia"/>
                <w:sz w:val="24"/>
                <w:szCs w:val="24"/>
              </w:rPr>
            </w:pPr>
            <w:r>
              <w:rPr>
                <w:rFonts w:hint="eastAsia"/>
                <w:sz w:val="24"/>
                <w:szCs w:val="24"/>
              </w:rPr>
              <w:t>2</w:t>
            </w:r>
          </w:p>
        </w:tc>
        <w:tc>
          <w:tcPr>
            <w:tcW w:w="1559" w:type="dxa"/>
            <w:shd w:val="clear" w:color="auto" w:fill="FFFFFF"/>
            <w:noWrap/>
            <w:vAlign w:val="center"/>
          </w:tcPr>
          <w:p w14:paraId="6D71D8EE">
            <w:pPr>
              <w:bidi w:val="0"/>
              <w:spacing w:line="360" w:lineRule="auto"/>
              <w:rPr>
                <w:rFonts w:hint="eastAsia"/>
                <w:sz w:val="24"/>
                <w:szCs w:val="24"/>
              </w:rPr>
            </w:pPr>
            <w:r>
              <w:rPr>
                <w:rFonts w:hint="eastAsia"/>
                <w:sz w:val="24"/>
                <w:szCs w:val="24"/>
              </w:rPr>
              <w:t>药剂费</w:t>
            </w:r>
          </w:p>
        </w:tc>
        <w:tc>
          <w:tcPr>
            <w:tcW w:w="4109" w:type="dxa"/>
            <w:shd w:val="clear" w:color="auto" w:fill="FFFFFF"/>
            <w:noWrap/>
            <w:vAlign w:val="center"/>
          </w:tcPr>
          <w:p w14:paraId="2950DBA1">
            <w:pPr>
              <w:bidi w:val="0"/>
              <w:spacing w:line="360" w:lineRule="auto"/>
              <w:rPr>
                <w:rFonts w:hint="eastAsia"/>
                <w:sz w:val="24"/>
                <w:szCs w:val="24"/>
              </w:rPr>
            </w:pPr>
            <w:r>
              <w:rPr>
                <w:rFonts w:hint="eastAsia"/>
                <w:sz w:val="24"/>
                <w:szCs w:val="24"/>
                <w:lang w:val="en-US" w:eastAsia="zh-CN"/>
              </w:rPr>
              <w:t>次氯酸钠消毒溶液</w:t>
            </w:r>
            <w:r>
              <w:rPr>
                <w:rFonts w:hint="eastAsia"/>
                <w:sz w:val="24"/>
                <w:szCs w:val="24"/>
              </w:rPr>
              <w:t>全包</w:t>
            </w:r>
          </w:p>
        </w:tc>
        <w:tc>
          <w:tcPr>
            <w:tcW w:w="1443" w:type="dxa"/>
            <w:shd w:val="clear" w:color="auto" w:fill="FFFFFF"/>
            <w:noWrap/>
            <w:vAlign w:val="center"/>
          </w:tcPr>
          <w:p w14:paraId="33E5A8A1">
            <w:pPr>
              <w:bidi w:val="0"/>
              <w:spacing w:line="360" w:lineRule="auto"/>
              <w:rPr>
                <w:rFonts w:hint="eastAsia"/>
                <w:sz w:val="24"/>
                <w:szCs w:val="24"/>
              </w:rPr>
            </w:pPr>
          </w:p>
        </w:tc>
        <w:tc>
          <w:tcPr>
            <w:tcW w:w="909" w:type="dxa"/>
            <w:shd w:val="clear" w:color="auto" w:fill="FFFFFF"/>
            <w:noWrap/>
            <w:vAlign w:val="center"/>
          </w:tcPr>
          <w:p w14:paraId="63069653">
            <w:pPr>
              <w:bidi w:val="0"/>
              <w:spacing w:line="360" w:lineRule="auto"/>
              <w:jc w:val="center"/>
              <w:rPr>
                <w:rFonts w:hint="eastAsia"/>
                <w:sz w:val="24"/>
                <w:szCs w:val="24"/>
              </w:rPr>
            </w:pPr>
          </w:p>
        </w:tc>
      </w:tr>
      <w:tr w14:paraId="05DD7F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50" w:type="dxa"/>
            <w:shd w:val="clear" w:color="auto" w:fill="FFFFFF"/>
            <w:noWrap/>
            <w:vAlign w:val="center"/>
          </w:tcPr>
          <w:p w14:paraId="76FA3B5D">
            <w:pPr>
              <w:bidi w:val="0"/>
              <w:spacing w:line="360" w:lineRule="auto"/>
              <w:rPr>
                <w:rFonts w:hint="eastAsia"/>
                <w:sz w:val="24"/>
                <w:szCs w:val="24"/>
              </w:rPr>
            </w:pPr>
            <w:r>
              <w:rPr>
                <w:rFonts w:hint="eastAsia"/>
                <w:sz w:val="24"/>
                <w:szCs w:val="24"/>
              </w:rPr>
              <w:t>3</w:t>
            </w:r>
          </w:p>
        </w:tc>
        <w:tc>
          <w:tcPr>
            <w:tcW w:w="1559" w:type="dxa"/>
            <w:shd w:val="clear" w:color="auto" w:fill="FFFFFF"/>
            <w:noWrap w:val="0"/>
            <w:vAlign w:val="center"/>
          </w:tcPr>
          <w:p w14:paraId="2D963D41">
            <w:pPr>
              <w:bidi w:val="0"/>
              <w:spacing w:line="360" w:lineRule="auto"/>
              <w:rPr>
                <w:rFonts w:hint="eastAsia"/>
                <w:sz w:val="24"/>
                <w:szCs w:val="24"/>
              </w:rPr>
            </w:pPr>
            <w:r>
              <w:rPr>
                <w:rFonts w:hint="eastAsia"/>
                <w:sz w:val="24"/>
                <w:szCs w:val="24"/>
              </w:rPr>
              <w:t>内部检测费</w:t>
            </w:r>
          </w:p>
        </w:tc>
        <w:tc>
          <w:tcPr>
            <w:tcW w:w="4109" w:type="dxa"/>
            <w:shd w:val="clear" w:color="auto" w:fill="FFFFFF"/>
            <w:noWrap w:val="0"/>
            <w:vAlign w:val="center"/>
          </w:tcPr>
          <w:p w14:paraId="5D651A7F">
            <w:pPr>
              <w:bidi w:val="0"/>
              <w:spacing w:line="360" w:lineRule="auto"/>
              <w:rPr>
                <w:rFonts w:hint="eastAsia"/>
                <w:sz w:val="24"/>
                <w:szCs w:val="24"/>
              </w:rPr>
            </w:pPr>
            <w:r>
              <w:rPr>
                <w:rFonts w:hint="eastAsia"/>
                <w:sz w:val="24"/>
                <w:szCs w:val="24"/>
              </w:rPr>
              <w:t>每天两次内部检测（PH、余氯）</w:t>
            </w:r>
          </w:p>
        </w:tc>
        <w:tc>
          <w:tcPr>
            <w:tcW w:w="1443" w:type="dxa"/>
            <w:shd w:val="clear" w:color="auto" w:fill="FFFFFF"/>
            <w:noWrap/>
            <w:vAlign w:val="center"/>
          </w:tcPr>
          <w:p w14:paraId="068C2CF1">
            <w:pPr>
              <w:bidi w:val="0"/>
              <w:spacing w:line="360" w:lineRule="auto"/>
              <w:rPr>
                <w:rFonts w:hint="eastAsia"/>
                <w:sz w:val="24"/>
                <w:szCs w:val="24"/>
              </w:rPr>
            </w:pPr>
            <w:r>
              <w:rPr>
                <w:rFonts w:hint="eastAsia"/>
                <w:sz w:val="24"/>
                <w:szCs w:val="24"/>
              </w:rPr>
              <w:t>1</w:t>
            </w:r>
          </w:p>
        </w:tc>
        <w:tc>
          <w:tcPr>
            <w:tcW w:w="909" w:type="dxa"/>
            <w:shd w:val="clear" w:color="auto" w:fill="FFFFFF"/>
            <w:noWrap/>
            <w:vAlign w:val="center"/>
          </w:tcPr>
          <w:p w14:paraId="4AD908E0">
            <w:pPr>
              <w:bidi w:val="0"/>
              <w:spacing w:line="360" w:lineRule="auto"/>
              <w:jc w:val="center"/>
              <w:rPr>
                <w:rFonts w:hint="eastAsia"/>
                <w:sz w:val="24"/>
                <w:szCs w:val="24"/>
              </w:rPr>
            </w:pPr>
            <w:r>
              <w:rPr>
                <w:rFonts w:hint="eastAsia"/>
                <w:sz w:val="24"/>
                <w:szCs w:val="24"/>
              </w:rPr>
              <w:t>项</w:t>
            </w:r>
          </w:p>
        </w:tc>
      </w:tr>
      <w:tr w14:paraId="58828A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jc w:val="center"/>
        </w:trPr>
        <w:tc>
          <w:tcPr>
            <w:tcW w:w="750" w:type="dxa"/>
            <w:shd w:val="clear" w:color="auto" w:fill="FFFFFF"/>
            <w:noWrap/>
            <w:vAlign w:val="center"/>
          </w:tcPr>
          <w:p w14:paraId="2B38130E">
            <w:pPr>
              <w:bidi w:val="0"/>
              <w:spacing w:line="360" w:lineRule="auto"/>
              <w:rPr>
                <w:rFonts w:hint="eastAsia"/>
                <w:sz w:val="24"/>
                <w:szCs w:val="24"/>
              </w:rPr>
            </w:pPr>
            <w:r>
              <w:rPr>
                <w:rFonts w:hint="eastAsia"/>
                <w:sz w:val="24"/>
                <w:szCs w:val="24"/>
              </w:rPr>
              <w:t>4</w:t>
            </w:r>
          </w:p>
        </w:tc>
        <w:tc>
          <w:tcPr>
            <w:tcW w:w="1559" w:type="dxa"/>
            <w:shd w:val="clear" w:color="auto" w:fill="FFFFFF"/>
            <w:noWrap w:val="0"/>
            <w:vAlign w:val="center"/>
          </w:tcPr>
          <w:p w14:paraId="37D525AA">
            <w:pPr>
              <w:bidi w:val="0"/>
              <w:spacing w:line="360" w:lineRule="auto"/>
              <w:rPr>
                <w:rFonts w:hint="eastAsia"/>
                <w:sz w:val="24"/>
                <w:szCs w:val="24"/>
              </w:rPr>
            </w:pPr>
            <w:r>
              <w:rPr>
                <w:rFonts w:hint="eastAsia"/>
                <w:sz w:val="24"/>
                <w:szCs w:val="24"/>
                <w:lang w:val="en-US" w:eastAsia="zh-CN"/>
              </w:rPr>
              <w:t>废水</w:t>
            </w:r>
            <w:r>
              <w:rPr>
                <w:rFonts w:hint="eastAsia"/>
                <w:sz w:val="24"/>
                <w:szCs w:val="24"/>
              </w:rPr>
              <w:t>检测</w:t>
            </w:r>
          </w:p>
        </w:tc>
        <w:tc>
          <w:tcPr>
            <w:tcW w:w="4109" w:type="dxa"/>
            <w:shd w:val="clear" w:color="auto" w:fill="FFFFFF"/>
            <w:noWrap w:val="0"/>
            <w:vAlign w:val="center"/>
          </w:tcPr>
          <w:p w14:paraId="3BF30ED9">
            <w:pPr>
              <w:bidi w:val="0"/>
              <w:spacing w:line="360" w:lineRule="auto"/>
              <w:rPr>
                <w:rFonts w:hint="eastAsia"/>
                <w:sz w:val="24"/>
                <w:szCs w:val="24"/>
                <w:lang w:val="en-US" w:eastAsia="zh-CN"/>
              </w:rPr>
            </w:pPr>
            <w:r>
              <w:rPr>
                <w:rFonts w:hint="eastAsia"/>
                <w:sz w:val="24"/>
                <w:szCs w:val="24"/>
                <w:lang w:val="en-US" w:eastAsia="zh-CN"/>
              </w:rPr>
              <w:t>1.每周一次（COD、SS）；</w:t>
            </w:r>
          </w:p>
          <w:p w14:paraId="58FFFF7D">
            <w:pPr>
              <w:bidi w:val="0"/>
              <w:spacing w:line="360" w:lineRule="auto"/>
              <w:rPr>
                <w:rFonts w:hint="eastAsia"/>
                <w:sz w:val="24"/>
                <w:szCs w:val="24"/>
                <w:lang w:val="en-US" w:eastAsia="zh-CN"/>
              </w:rPr>
            </w:pPr>
            <w:r>
              <w:rPr>
                <w:rFonts w:hint="eastAsia"/>
                <w:sz w:val="24"/>
                <w:szCs w:val="24"/>
                <w:lang w:val="en-US" w:eastAsia="zh-CN"/>
              </w:rPr>
              <w:t>2.每月一次检测内容（PH、COD、SS、粪大肠群菌）；</w:t>
            </w:r>
          </w:p>
          <w:p w14:paraId="043D54FA">
            <w:pPr>
              <w:bidi w:val="0"/>
              <w:spacing w:line="360" w:lineRule="auto"/>
              <w:rPr>
                <w:rFonts w:hint="eastAsia"/>
                <w:sz w:val="24"/>
                <w:szCs w:val="24"/>
                <w:lang w:val="en-US" w:eastAsia="zh-CN"/>
              </w:rPr>
            </w:pPr>
            <w:r>
              <w:rPr>
                <w:rFonts w:hint="eastAsia"/>
                <w:sz w:val="24"/>
                <w:szCs w:val="24"/>
                <w:lang w:val="en-US" w:eastAsia="zh-CN"/>
              </w:rPr>
              <w:t>3.每季度检一次沙门氏菌、动植物油、石油类、阴离子表面活性剂、挥发酚、总氰化物、五日生化需氧量；</w:t>
            </w:r>
          </w:p>
          <w:p w14:paraId="5B14F333">
            <w:pPr>
              <w:bidi w:val="0"/>
              <w:spacing w:line="360" w:lineRule="auto"/>
              <w:rPr>
                <w:rFonts w:hint="eastAsia"/>
                <w:sz w:val="24"/>
                <w:szCs w:val="24"/>
                <w:lang w:eastAsia="zh-CN"/>
              </w:rPr>
            </w:pPr>
            <w:r>
              <w:rPr>
                <w:rFonts w:hint="eastAsia"/>
                <w:sz w:val="24"/>
                <w:szCs w:val="24"/>
                <w:lang w:val="en-US" w:eastAsia="zh-CN"/>
              </w:rPr>
              <w:t>4.每半年检一次动植物油、石油类、阴离子表面活性剂、挥发酚、总氰化物、志贺氏菌、沙门氏菌、五日生化需氧量。</w:t>
            </w:r>
          </w:p>
        </w:tc>
        <w:tc>
          <w:tcPr>
            <w:tcW w:w="1443" w:type="dxa"/>
            <w:shd w:val="clear" w:color="auto" w:fill="FFFFFF"/>
            <w:noWrap/>
            <w:vAlign w:val="center"/>
          </w:tcPr>
          <w:p w14:paraId="27370DEB">
            <w:pPr>
              <w:bidi w:val="0"/>
              <w:spacing w:line="360" w:lineRule="auto"/>
              <w:rPr>
                <w:rFonts w:hint="eastAsia"/>
                <w:sz w:val="24"/>
                <w:szCs w:val="24"/>
                <w:lang w:val="en-US" w:eastAsia="zh-CN"/>
              </w:rPr>
            </w:pPr>
            <w:r>
              <w:rPr>
                <w:rFonts w:hint="eastAsia"/>
                <w:sz w:val="24"/>
                <w:szCs w:val="24"/>
                <w:lang w:val="en-US" w:eastAsia="zh-CN"/>
              </w:rPr>
              <w:t>12</w:t>
            </w:r>
          </w:p>
        </w:tc>
        <w:tc>
          <w:tcPr>
            <w:tcW w:w="909" w:type="dxa"/>
            <w:shd w:val="clear" w:color="auto" w:fill="FFFFFF"/>
            <w:noWrap/>
            <w:vAlign w:val="center"/>
          </w:tcPr>
          <w:p w14:paraId="007F034D">
            <w:pPr>
              <w:bidi w:val="0"/>
              <w:spacing w:line="360" w:lineRule="auto"/>
              <w:jc w:val="center"/>
              <w:rPr>
                <w:rFonts w:hint="eastAsia"/>
                <w:sz w:val="24"/>
                <w:szCs w:val="24"/>
              </w:rPr>
            </w:pPr>
            <w:r>
              <w:rPr>
                <w:rFonts w:hint="eastAsia"/>
                <w:sz w:val="24"/>
                <w:szCs w:val="24"/>
              </w:rPr>
              <w:t>次</w:t>
            </w:r>
          </w:p>
        </w:tc>
      </w:tr>
      <w:tr w14:paraId="2A2F75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50" w:type="dxa"/>
            <w:shd w:val="clear" w:color="auto" w:fill="FFFFFF"/>
            <w:noWrap/>
            <w:vAlign w:val="center"/>
          </w:tcPr>
          <w:p w14:paraId="67129860">
            <w:pPr>
              <w:bidi w:val="0"/>
              <w:spacing w:line="360" w:lineRule="auto"/>
              <w:rPr>
                <w:rFonts w:hint="eastAsia"/>
                <w:sz w:val="24"/>
                <w:szCs w:val="24"/>
                <w:lang w:val="en-US" w:eastAsia="zh-CN"/>
              </w:rPr>
            </w:pPr>
            <w:r>
              <w:rPr>
                <w:rFonts w:hint="eastAsia"/>
                <w:sz w:val="24"/>
                <w:szCs w:val="24"/>
                <w:lang w:val="en-US" w:eastAsia="zh-CN"/>
              </w:rPr>
              <w:t>5</w:t>
            </w:r>
          </w:p>
        </w:tc>
        <w:tc>
          <w:tcPr>
            <w:tcW w:w="1559" w:type="dxa"/>
            <w:shd w:val="clear" w:color="auto" w:fill="FFFFFF"/>
            <w:noWrap w:val="0"/>
            <w:vAlign w:val="center"/>
          </w:tcPr>
          <w:p w14:paraId="1B770EA0">
            <w:pPr>
              <w:bidi w:val="0"/>
              <w:spacing w:line="360" w:lineRule="auto"/>
              <w:rPr>
                <w:rFonts w:hint="eastAsia"/>
                <w:sz w:val="24"/>
                <w:szCs w:val="24"/>
                <w:lang w:val="en-US" w:eastAsia="zh-CN"/>
              </w:rPr>
            </w:pPr>
            <w:r>
              <w:rPr>
                <w:rFonts w:hint="eastAsia"/>
                <w:sz w:val="24"/>
                <w:szCs w:val="24"/>
                <w:lang w:val="en-US" w:eastAsia="zh-CN"/>
              </w:rPr>
              <w:t>废气检测</w:t>
            </w:r>
          </w:p>
        </w:tc>
        <w:tc>
          <w:tcPr>
            <w:tcW w:w="4109" w:type="dxa"/>
            <w:shd w:val="clear" w:color="auto" w:fill="FFFFFF"/>
            <w:noWrap w:val="0"/>
            <w:vAlign w:val="center"/>
          </w:tcPr>
          <w:p w14:paraId="4D0DF4E9">
            <w:pPr>
              <w:bidi w:val="0"/>
              <w:spacing w:line="360" w:lineRule="auto"/>
              <w:rPr>
                <w:rFonts w:hint="eastAsia"/>
                <w:sz w:val="24"/>
                <w:szCs w:val="24"/>
              </w:rPr>
            </w:pPr>
            <w:r>
              <w:rPr>
                <w:rFonts w:hint="eastAsia"/>
                <w:sz w:val="24"/>
                <w:szCs w:val="24"/>
              </w:rPr>
              <w:t>甲烷、臭气浓度（四次最大值）、氨气、氯气、硫化氢（四个点）；每季度测定昼夜间噪音（四个点）。</w:t>
            </w:r>
          </w:p>
        </w:tc>
        <w:tc>
          <w:tcPr>
            <w:tcW w:w="1443" w:type="dxa"/>
            <w:shd w:val="clear" w:color="auto" w:fill="FFFFFF"/>
            <w:noWrap/>
            <w:vAlign w:val="center"/>
          </w:tcPr>
          <w:p w14:paraId="430DC51D">
            <w:pPr>
              <w:bidi w:val="0"/>
              <w:spacing w:line="360" w:lineRule="auto"/>
              <w:rPr>
                <w:rFonts w:hint="eastAsia"/>
                <w:sz w:val="24"/>
                <w:szCs w:val="24"/>
                <w:lang w:val="en-US" w:eastAsia="zh-CN"/>
              </w:rPr>
            </w:pPr>
            <w:r>
              <w:rPr>
                <w:rFonts w:hint="eastAsia"/>
                <w:sz w:val="24"/>
                <w:szCs w:val="24"/>
                <w:lang w:val="en-US" w:eastAsia="zh-CN"/>
              </w:rPr>
              <w:t>4</w:t>
            </w:r>
          </w:p>
        </w:tc>
        <w:tc>
          <w:tcPr>
            <w:tcW w:w="909" w:type="dxa"/>
            <w:shd w:val="clear" w:color="auto" w:fill="FFFFFF"/>
            <w:noWrap/>
            <w:vAlign w:val="center"/>
          </w:tcPr>
          <w:p w14:paraId="7418DDBE">
            <w:pPr>
              <w:bidi w:val="0"/>
              <w:spacing w:line="360" w:lineRule="auto"/>
              <w:jc w:val="center"/>
              <w:rPr>
                <w:rFonts w:hint="eastAsia"/>
                <w:sz w:val="24"/>
                <w:szCs w:val="24"/>
                <w:lang w:val="en-US" w:eastAsia="zh-CN"/>
              </w:rPr>
            </w:pPr>
            <w:r>
              <w:rPr>
                <w:rFonts w:hint="eastAsia"/>
                <w:sz w:val="24"/>
                <w:szCs w:val="24"/>
                <w:lang w:val="en-US" w:eastAsia="zh-CN"/>
              </w:rPr>
              <w:t>季</w:t>
            </w:r>
          </w:p>
        </w:tc>
      </w:tr>
      <w:tr w14:paraId="470A16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50" w:type="dxa"/>
            <w:shd w:val="clear" w:color="auto" w:fill="FFFFFF"/>
            <w:noWrap/>
            <w:vAlign w:val="center"/>
          </w:tcPr>
          <w:p w14:paraId="454FF1D2">
            <w:pPr>
              <w:bidi w:val="0"/>
              <w:spacing w:line="360" w:lineRule="auto"/>
              <w:rPr>
                <w:rFonts w:hint="eastAsia"/>
                <w:sz w:val="24"/>
                <w:szCs w:val="24"/>
                <w:lang w:val="en-US" w:eastAsia="zh-CN"/>
              </w:rPr>
            </w:pPr>
            <w:r>
              <w:rPr>
                <w:rFonts w:hint="eastAsia"/>
                <w:sz w:val="24"/>
                <w:szCs w:val="24"/>
                <w:lang w:val="en-US" w:eastAsia="zh-CN"/>
              </w:rPr>
              <w:t>6</w:t>
            </w:r>
          </w:p>
        </w:tc>
        <w:tc>
          <w:tcPr>
            <w:tcW w:w="1559" w:type="dxa"/>
            <w:shd w:val="clear" w:color="auto" w:fill="FFFFFF"/>
            <w:noWrap w:val="0"/>
            <w:vAlign w:val="center"/>
          </w:tcPr>
          <w:p w14:paraId="26891047">
            <w:pPr>
              <w:bidi w:val="0"/>
              <w:spacing w:line="360" w:lineRule="auto"/>
              <w:rPr>
                <w:rFonts w:hint="eastAsia"/>
                <w:sz w:val="24"/>
                <w:szCs w:val="24"/>
              </w:rPr>
            </w:pPr>
            <w:r>
              <w:rPr>
                <w:rFonts w:hint="eastAsia"/>
                <w:sz w:val="24"/>
                <w:szCs w:val="24"/>
              </w:rPr>
              <w:t>设备维护保养及更换</w:t>
            </w:r>
          </w:p>
        </w:tc>
        <w:tc>
          <w:tcPr>
            <w:tcW w:w="4109" w:type="dxa"/>
            <w:shd w:val="clear" w:color="auto" w:fill="FFFFFF"/>
            <w:noWrap w:val="0"/>
            <w:vAlign w:val="center"/>
          </w:tcPr>
          <w:p w14:paraId="1050456A">
            <w:pPr>
              <w:bidi w:val="0"/>
              <w:spacing w:line="360" w:lineRule="auto"/>
              <w:rPr>
                <w:rFonts w:hint="eastAsia"/>
                <w:sz w:val="24"/>
                <w:szCs w:val="24"/>
              </w:rPr>
            </w:pPr>
            <w:r>
              <w:rPr>
                <w:rFonts w:hint="eastAsia"/>
                <w:sz w:val="24"/>
                <w:szCs w:val="24"/>
              </w:rPr>
              <w:t>负责污水处理设备维修保养及设备更换全包</w:t>
            </w:r>
          </w:p>
        </w:tc>
        <w:tc>
          <w:tcPr>
            <w:tcW w:w="1443" w:type="dxa"/>
            <w:shd w:val="clear" w:color="auto" w:fill="FFFFFF"/>
            <w:noWrap/>
            <w:vAlign w:val="center"/>
          </w:tcPr>
          <w:p w14:paraId="5F34EDF6">
            <w:pPr>
              <w:bidi w:val="0"/>
              <w:spacing w:line="360" w:lineRule="auto"/>
              <w:rPr>
                <w:rFonts w:hint="eastAsia"/>
                <w:sz w:val="24"/>
                <w:szCs w:val="24"/>
              </w:rPr>
            </w:pPr>
            <w:r>
              <w:rPr>
                <w:rFonts w:hint="eastAsia"/>
                <w:sz w:val="24"/>
                <w:szCs w:val="24"/>
              </w:rPr>
              <w:t>1</w:t>
            </w:r>
          </w:p>
        </w:tc>
        <w:tc>
          <w:tcPr>
            <w:tcW w:w="909" w:type="dxa"/>
            <w:shd w:val="clear" w:color="auto" w:fill="FFFFFF"/>
            <w:noWrap/>
            <w:vAlign w:val="center"/>
          </w:tcPr>
          <w:p w14:paraId="3F4FC766">
            <w:pPr>
              <w:bidi w:val="0"/>
              <w:spacing w:line="360" w:lineRule="auto"/>
              <w:jc w:val="center"/>
              <w:rPr>
                <w:rFonts w:hint="eastAsia"/>
                <w:sz w:val="24"/>
                <w:szCs w:val="24"/>
              </w:rPr>
            </w:pPr>
            <w:r>
              <w:rPr>
                <w:rFonts w:hint="eastAsia"/>
                <w:sz w:val="24"/>
                <w:szCs w:val="24"/>
              </w:rPr>
              <w:t>项</w:t>
            </w:r>
          </w:p>
        </w:tc>
      </w:tr>
      <w:tr w14:paraId="478AA2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50" w:type="dxa"/>
            <w:shd w:val="clear" w:color="auto" w:fill="FFFFFF"/>
            <w:noWrap/>
            <w:vAlign w:val="center"/>
          </w:tcPr>
          <w:p w14:paraId="41548B81">
            <w:pPr>
              <w:bidi w:val="0"/>
              <w:spacing w:line="360" w:lineRule="auto"/>
              <w:rPr>
                <w:rFonts w:hint="eastAsia"/>
                <w:sz w:val="24"/>
                <w:szCs w:val="24"/>
                <w:lang w:val="en-US" w:eastAsia="zh-CN"/>
              </w:rPr>
            </w:pPr>
            <w:r>
              <w:rPr>
                <w:rFonts w:hint="eastAsia"/>
                <w:sz w:val="24"/>
                <w:szCs w:val="24"/>
                <w:lang w:val="en-US" w:eastAsia="zh-CN"/>
              </w:rPr>
              <w:t>7</w:t>
            </w:r>
          </w:p>
        </w:tc>
        <w:tc>
          <w:tcPr>
            <w:tcW w:w="1559" w:type="dxa"/>
            <w:shd w:val="clear" w:color="auto" w:fill="FFFFFF"/>
            <w:noWrap w:val="0"/>
            <w:vAlign w:val="center"/>
          </w:tcPr>
          <w:p w14:paraId="5EB53D27">
            <w:pPr>
              <w:bidi w:val="0"/>
              <w:spacing w:line="360" w:lineRule="auto"/>
              <w:rPr>
                <w:rFonts w:hint="eastAsia"/>
                <w:sz w:val="24"/>
                <w:szCs w:val="24"/>
              </w:rPr>
            </w:pPr>
            <w:r>
              <w:rPr>
                <w:rFonts w:hint="eastAsia"/>
                <w:sz w:val="24"/>
                <w:szCs w:val="24"/>
              </w:rPr>
              <w:t>劳保用品</w:t>
            </w:r>
          </w:p>
        </w:tc>
        <w:tc>
          <w:tcPr>
            <w:tcW w:w="4109" w:type="dxa"/>
            <w:shd w:val="clear" w:color="auto" w:fill="FFFFFF"/>
            <w:noWrap w:val="0"/>
            <w:vAlign w:val="center"/>
          </w:tcPr>
          <w:p w14:paraId="15E60C2D">
            <w:pPr>
              <w:bidi w:val="0"/>
              <w:spacing w:line="360" w:lineRule="auto"/>
              <w:rPr>
                <w:rFonts w:hint="eastAsia"/>
                <w:sz w:val="24"/>
                <w:szCs w:val="24"/>
              </w:rPr>
            </w:pPr>
            <w:r>
              <w:rPr>
                <w:rFonts w:hint="eastAsia"/>
                <w:sz w:val="24"/>
                <w:szCs w:val="24"/>
              </w:rPr>
              <w:t>手套、工作服、口罩等防护用品</w:t>
            </w:r>
          </w:p>
        </w:tc>
        <w:tc>
          <w:tcPr>
            <w:tcW w:w="1443" w:type="dxa"/>
            <w:shd w:val="clear" w:color="auto" w:fill="FFFFFF"/>
            <w:noWrap/>
            <w:vAlign w:val="center"/>
          </w:tcPr>
          <w:p w14:paraId="3F8D02D2">
            <w:pPr>
              <w:bidi w:val="0"/>
              <w:spacing w:line="360" w:lineRule="auto"/>
              <w:rPr>
                <w:rFonts w:hint="eastAsia"/>
                <w:sz w:val="24"/>
                <w:szCs w:val="24"/>
              </w:rPr>
            </w:pPr>
            <w:r>
              <w:rPr>
                <w:rFonts w:hint="eastAsia"/>
                <w:sz w:val="24"/>
                <w:szCs w:val="24"/>
              </w:rPr>
              <w:t>1</w:t>
            </w:r>
          </w:p>
        </w:tc>
        <w:tc>
          <w:tcPr>
            <w:tcW w:w="909" w:type="dxa"/>
            <w:shd w:val="clear" w:color="auto" w:fill="FFFFFF"/>
            <w:noWrap/>
            <w:vAlign w:val="center"/>
          </w:tcPr>
          <w:p w14:paraId="4831C65D">
            <w:pPr>
              <w:bidi w:val="0"/>
              <w:spacing w:line="360" w:lineRule="auto"/>
              <w:jc w:val="center"/>
              <w:rPr>
                <w:rFonts w:hint="eastAsia"/>
                <w:sz w:val="24"/>
                <w:szCs w:val="24"/>
                <w:lang w:eastAsia="zh-CN"/>
              </w:rPr>
            </w:pPr>
            <w:r>
              <w:rPr>
                <w:rFonts w:hint="eastAsia"/>
                <w:sz w:val="24"/>
                <w:szCs w:val="24"/>
                <w:lang w:eastAsia="zh-CN"/>
              </w:rPr>
              <w:t>批</w:t>
            </w:r>
          </w:p>
        </w:tc>
      </w:tr>
      <w:tr w14:paraId="329BCE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6418" w:type="dxa"/>
            <w:gridSpan w:val="3"/>
            <w:shd w:val="clear" w:color="auto" w:fill="FFFFFF"/>
            <w:noWrap/>
            <w:vAlign w:val="center"/>
          </w:tcPr>
          <w:p w14:paraId="0E8B198F">
            <w:pPr>
              <w:bidi w:val="0"/>
              <w:spacing w:line="360" w:lineRule="auto"/>
              <w:jc w:val="center"/>
              <w:rPr>
                <w:rFonts w:hint="default" w:eastAsia="宋体"/>
                <w:sz w:val="24"/>
                <w:szCs w:val="24"/>
                <w:lang w:val="en-US" w:eastAsia="zh-CN"/>
              </w:rPr>
            </w:pPr>
            <w:r>
              <w:rPr>
                <w:rFonts w:hint="eastAsia"/>
                <w:sz w:val="24"/>
                <w:szCs w:val="24"/>
                <w:lang w:val="en-US" w:eastAsia="zh-CN"/>
              </w:rPr>
              <w:t>总报价</w:t>
            </w:r>
          </w:p>
        </w:tc>
        <w:tc>
          <w:tcPr>
            <w:tcW w:w="1443" w:type="dxa"/>
            <w:shd w:val="clear" w:color="auto" w:fill="FFFFFF"/>
            <w:noWrap/>
            <w:vAlign w:val="center"/>
          </w:tcPr>
          <w:p w14:paraId="1BDD905E">
            <w:pPr>
              <w:bidi w:val="0"/>
              <w:spacing w:line="360" w:lineRule="auto"/>
              <w:rPr>
                <w:rFonts w:hint="eastAsia"/>
                <w:sz w:val="24"/>
                <w:szCs w:val="24"/>
              </w:rPr>
            </w:pPr>
          </w:p>
        </w:tc>
        <w:tc>
          <w:tcPr>
            <w:tcW w:w="909" w:type="dxa"/>
            <w:shd w:val="clear" w:color="auto" w:fill="FFFFFF"/>
            <w:noWrap/>
            <w:vAlign w:val="center"/>
          </w:tcPr>
          <w:p w14:paraId="2E4496A9">
            <w:pPr>
              <w:bidi w:val="0"/>
              <w:spacing w:line="360" w:lineRule="auto"/>
              <w:jc w:val="center"/>
              <w:rPr>
                <w:rFonts w:hint="default"/>
                <w:sz w:val="24"/>
                <w:szCs w:val="24"/>
                <w:lang w:val="en-US" w:eastAsia="zh-CN"/>
              </w:rPr>
            </w:pPr>
            <w:r>
              <w:rPr>
                <w:rFonts w:hint="eastAsia"/>
                <w:sz w:val="24"/>
                <w:szCs w:val="24"/>
                <w:lang w:val="en-US" w:eastAsia="zh-CN"/>
              </w:rPr>
              <w:t>元</w:t>
            </w:r>
          </w:p>
        </w:tc>
      </w:tr>
    </w:tbl>
    <w:p w14:paraId="20914A59">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注：1.污水处理系统的设备日常操作人工费(含人工福利、社会保险)、维修配件材料、设备更换、污水处理系统所需要的药剂及耗材费用、环保检测费用、 环评及项目建设费用等不可预见和完成本采购项目内容所需的一切费用。</w:t>
      </w:r>
    </w:p>
    <w:p w14:paraId="42E8A2C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2.按照中山市板芙医院自行监测方案里面的内容对污水站进行管理及监测。</w:t>
      </w:r>
    </w:p>
    <w:p w14:paraId="6E2114D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3.运营费用主要构成</w:t>
      </w:r>
    </w:p>
    <w:p w14:paraId="58BC04CF">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（1）污水处理站设施操作人员工资及管理费。</w:t>
      </w:r>
    </w:p>
    <w:p w14:paraId="0251A2D0">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（2）污水处理站的设备日常保养及维护费用。</w:t>
      </w:r>
    </w:p>
    <w:p w14:paraId="0508ADC0">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（3）污水处理站所需要的药剂费。</w:t>
      </w:r>
    </w:p>
    <w:p w14:paraId="782962D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（4）污水处理站所需要的监测分析费。</w:t>
      </w:r>
    </w:p>
    <w:p w14:paraId="486CA8B1">
      <w:pPr>
        <w:ind w:firstLine="640" w:firstLineChars="200"/>
        <w:rPr>
          <w:sz w:val="21"/>
          <w:szCs w:val="21"/>
        </w:rPr>
      </w:pPr>
      <w:r>
        <w:rPr>
          <w:rFonts w:hint="eastAsia" w:ascii="仿宋_GB2312" w:hAnsi="Calibri" w:eastAsia="仿宋_GB2312" w:cs="Times New Roman"/>
          <w:sz w:val="32"/>
          <w:szCs w:val="21"/>
          <w:lang w:val="en-US" w:eastAsia="zh-CN"/>
        </w:rPr>
        <w:t>（5）污水处理站的设备日常配件费。</w:t>
      </w:r>
    </w:p>
    <w:p w14:paraId="6513627B">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4.包括但不限于以上内容，具体按照中山市板芙医院自行监测方案里面的内容对污水处理站进行管理及监测。</w:t>
      </w:r>
    </w:p>
    <w:p w14:paraId="63355C55">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5.运营期间，如因环保政策发生变化，污水站产生运营费用提升5%（含）以下由供应商负责，超过5%以上由医院及供应商各负责一半。</w:t>
      </w:r>
    </w:p>
    <w:p w14:paraId="652872A8">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五、其他事项</w:t>
      </w:r>
    </w:p>
    <w:p w14:paraId="269CBEF9">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1.若污水排放水质指标超标或其他事项，由此产生的环保罚款及其他一切行政处罚由供应商负责，供应商同时承担因处罚以后所有的整改费用。</w:t>
      </w:r>
    </w:p>
    <w:p w14:paraId="71821CEB">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2.污水系统所需水、电由医院提供。</w:t>
      </w:r>
    </w:p>
    <w:p w14:paraId="78B7193A">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3.系统改造及设备更新投资费用和在承包运营日常维修和保养由供应商负责。</w:t>
      </w:r>
    </w:p>
    <w:p w14:paraId="06D9F046">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4.如因排污收费政策变化，双方可相应协商调整运营费用结算。</w:t>
      </w:r>
    </w:p>
    <w:p w14:paraId="0EF2945D">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5.医院要求的其他污水相关环保事务服务。</w:t>
      </w:r>
    </w:p>
    <w:p w14:paraId="7C411BFD">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6.合同期内发生任何责任事故均由供应商负责。</w:t>
      </w:r>
    </w:p>
    <w:p w14:paraId="5D553554">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7.污泥清理费用由医院负责。</w:t>
      </w:r>
    </w:p>
    <w:p w14:paraId="0069F69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六、污水来源、性质、水量、水质排放标准及设计规模</w:t>
      </w:r>
    </w:p>
    <w:p w14:paraId="348263DF">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1.污水来源：本污水处理系统的污水主要来自医疗污水+生活污水。本院污水经污水处理系统处理后，合格水直接外排。</w:t>
      </w:r>
    </w:p>
    <w:p w14:paraId="5BC766C2">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2.污水性质：综合医疗污水+生活污水。</w:t>
      </w:r>
    </w:p>
    <w:p w14:paraId="2DB5B89B">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3.污水水量：根据估算， Qd=350m³/d。</w:t>
      </w:r>
    </w:p>
    <w:p w14:paraId="03ADCA93">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4.《医疗机构水污染物排放标准》GB18466-2005表2预处理排放标准</w:t>
      </w:r>
    </w:p>
    <w:tbl>
      <w:tblPr>
        <w:tblStyle w:val="8"/>
        <w:tblW w:w="90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5"/>
        <w:gridCol w:w="2212"/>
        <w:gridCol w:w="2167"/>
        <w:gridCol w:w="2331"/>
      </w:tblGrid>
      <w:tr w14:paraId="4BD44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trPr>
        <w:tc>
          <w:tcPr>
            <w:tcW w:w="2355" w:type="dxa"/>
            <w:tcBorders>
              <w:top w:val="single" w:color="auto" w:sz="4" w:space="0"/>
              <w:left w:val="single" w:color="auto" w:sz="4" w:space="0"/>
              <w:bottom w:val="single" w:color="auto" w:sz="6" w:space="0"/>
              <w:tl2br w:val="single" w:color="auto" w:sz="4" w:space="0"/>
            </w:tcBorders>
            <w:shd w:val="clear" w:color="auto" w:fill="E6E6E6"/>
            <w:noWrap w:val="0"/>
            <w:vAlign w:val="top"/>
          </w:tcPr>
          <w:p w14:paraId="6CE8B921">
            <w:pPr>
              <w:spacing w:line="6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 目</w:t>
            </w:r>
          </w:p>
          <w:p w14:paraId="3DDF0BD2">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  标</w:t>
            </w:r>
          </w:p>
        </w:tc>
        <w:tc>
          <w:tcPr>
            <w:tcW w:w="2212" w:type="dxa"/>
            <w:tcBorders>
              <w:top w:val="single" w:color="auto" w:sz="4" w:space="0"/>
            </w:tcBorders>
            <w:shd w:val="clear" w:color="auto" w:fill="E6E6E6"/>
            <w:noWrap w:val="0"/>
            <w:vAlign w:val="center"/>
          </w:tcPr>
          <w:p w14:paraId="4B45167C">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进水水质（mg/L）</w:t>
            </w:r>
          </w:p>
        </w:tc>
        <w:tc>
          <w:tcPr>
            <w:tcW w:w="2167" w:type="dxa"/>
            <w:tcBorders>
              <w:top w:val="single" w:color="auto" w:sz="4" w:space="0"/>
            </w:tcBorders>
            <w:shd w:val="clear" w:color="auto" w:fill="E6E6E6"/>
            <w:noWrap w:val="0"/>
            <w:vAlign w:val="center"/>
          </w:tcPr>
          <w:p w14:paraId="57515B23">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预处理标准（mg/L）</w:t>
            </w:r>
          </w:p>
        </w:tc>
        <w:tc>
          <w:tcPr>
            <w:tcW w:w="2331" w:type="dxa"/>
            <w:tcBorders>
              <w:top w:val="single" w:color="auto" w:sz="4" w:space="0"/>
              <w:right w:val="single" w:color="auto" w:sz="4" w:space="0"/>
            </w:tcBorders>
            <w:shd w:val="clear" w:color="auto" w:fill="E6E6E6"/>
            <w:noWrap w:val="0"/>
            <w:vAlign w:val="center"/>
          </w:tcPr>
          <w:p w14:paraId="35DBCD7C">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排放标准（mg/L）</w:t>
            </w:r>
          </w:p>
        </w:tc>
      </w:tr>
      <w:tr w14:paraId="13F4E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2355" w:type="dxa"/>
            <w:tcBorders>
              <w:top w:val="single" w:color="auto" w:sz="6" w:space="0"/>
              <w:left w:val="single" w:color="auto" w:sz="4" w:space="0"/>
            </w:tcBorders>
            <w:shd w:val="clear" w:color="auto" w:fill="E0E0E0"/>
            <w:noWrap w:val="0"/>
            <w:vAlign w:val="top"/>
          </w:tcPr>
          <w:p w14:paraId="26A611A5">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BOD</w:t>
            </w:r>
            <w:r>
              <w:rPr>
                <w:rFonts w:hint="eastAsia" w:ascii="宋体" w:hAnsi="宋体" w:eastAsia="宋体" w:cs="宋体"/>
                <w:color w:val="auto"/>
                <w:sz w:val="30"/>
                <w:szCs w:val="30"/>
                <w:highlight w:val="none"/>
                <w:vertAlign w:val="subscript"/>
              </w:rPr>
              <w:t>5</w:t>
            </w:r>
          </w:p>
        </w:tc>
        <w:tc>
          <w:tcPr>
            <w:tcW w:w="2212" w:type="dxa"/>
            <w:noWrap w:val="0"/>
            <w:vAlign w:val="center"/>
          </w:tcPr>
          <w:p w14:paraId="3B2BF1B3">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≤200</w:t>
            </w:r>
          </w:p>
        </w:tc>
        <w:tc>
          <w:tcPr>
            <w:tcW w:w="2167" w:type="dxa"/>
            <w:noWrap w:val="0"/>
            <w:vAlign w:val="center"/>
          </w:tcPr>
          <w:p w14:paraId="259A5AD8">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≤100</w:t>
            </w:r>
          </w:p>
        </w:tc>
        <w:tc>
          <w:tcPr>
            <w:tcW w:w="2331" w:type="dxa"/>
            <w:tcBorders>
              <w:right w:val="single" w:color="auto" w:sz="4" w:space="0"/>
            </w:tcBorders>
            <w:noWrap w:val="0"/>
            <w:vAlign w:val="center"/>
          </w:tcPr>
          <w:p w14:paraId="6F32DDBF">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≤30</w:t>
            </w:r>
          </w:p>
        </w:tc>
      </w:tr>
      <w:tr w14:paraId="36BA6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2355" w:type="dxa"/>
            <w:tcBorders>
              <w:left w:val="single" w:color="auto" w:sz="4" w:space="0"/>
            </w:tcBorders>
            <w:shd w:val="clear" w:color="auto" w:fill="E0E0E0"/>
            <w:noWrap w:val="0"/>
            <w:vAlign w:val="top"/>
          </w:tcPr>
          <w:p w14:paraId="3A2A3C6C">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COD</w:t>
            </w:r>
            <w:r>
              <w:rPr>
                <w:rFonts w:hint="eastAsia" w:ascii="宋体" w:hAnsi="宋体" w:eastAsia="宋体" w:cs="宋体"/>
                <w:color w:val="auto"/>
                <w:sz w:val="30"/>
                <w:szCs w:val="30"/>
                <w:highlight w:val="none"/>
                <w:vertAlign w:val="subscript"/>
              </w:rPr>
              <w:t>cr</w:t>
            </w:r>
          </w:p>
        </w:tc>
        <w:tc>
          <w:tcPr>
            <w:tcW w:w="2212" w:type="dxa"/>
            <w:noWrap w:val="0"/>
            <w:vAlign w:val="center"/>
          </w:tcPr>
          <w:p w14:paraId="2AF9A8A5">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≤300</w:t>
            </w:r>
          </w:p>
        </w:tc>
        <w:tc>
          <w:tcPr>
            <w:tcW w:w="2167" w:type="dxa"/>
            <w:noWrap w:val="0"/>
            <w:vAlign w:val="center"/>
          </w:tcPr>
          <w:p w14:paraId="5C99B9A0">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≤250</w:t>
            </w:r>
          </w:p>
        </w:tc>
        <w:tc>
          <w:tcPr>
            <w:tcW w:w="2331" w:type="dxa"/>
            <w:tcBorders>
              <w:right w:val="single" w:color="auto" w:sz="4" w:space="0"/>
            </w:tcBorders>
            <w:noWrap w:val="0"/>
            <w:vAlign w:val="center"/>
          </w:tcPr>
          <w:p w14:paraId="587C7E8C">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≤60</w:t>
            </w:r>
          </w:p>
        </w:tc>
      </w:tr>
      <w:tr w14:paraId="71AC5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55" w:type="dxa"/>
            <w:tcBorders>
              <w:left w:val="single" w:color="auto" w:sz="4" w:space="0"/>
            </w:tcBorders>
            <w:shd w:val="clear" w:color="auto" w:fill="E0E0E0"/>
            <w:noWrap w:val="0"/>
            <w:vAlign w:val="top"/>
          </w:tcPr>
          <w:p w14:paraId="66E0E2F2">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SS</w:t>
            </w:r>
          </w:p>
        </w:tc>
        <w:tc>
          <w:tcPr>
            <w:tcW w:w="2212" w:type="dxa"/>
            <w:noWrap w:val="0"/>
            <w:vAlign w:val="center"/>
          </w:tcPr>
          <w:p w14:paraId="29452188">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≤200</w:t>
            </w:r>
          </w:p>
        </w:tc>
        <w:tc>
          <w:tcPr>
            <w:tcW w:w="2167" w:type="dxa"/>
            <w:noWrap w:val="0"/>
            <w:vAlign w:val="center"/>
          </w:tcPr>
          <w:p w14:paraId="4529C732">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≤60</w:t>
            </w:r>
          </w:p>
        </w:tc>
        <w:tc>
          <w:tcPr>
            <w:tcW w:w="2331" w:type="dxa"/>
            <w:tcBorders>
              <w:right w:val="single" w:color="auto" w:sz="4" w:space="0"/>
            </w:tcBorders>
            <w:noWrap w:val="0"/>
            <w:vAlign w:val="center"/>
          </w:tcPr>
          <w:p w14:paraId="0B73E704">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w:t>
            </w:r>
          </w:p>
        </w:tc>
      </w:tr>
      <w:tr w14:paraId="37D5A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55" w:type="dxa"/>
            <w:tcBorders>
              <w:left w:val="single" w:color="auto" w:sz="4" w:space="0"/>
            </w:tcBorders>
            <w:shd w:val="clear" w:color="auto" w:fill="E0E0E0"/>
            <w:noWrap w:val="0"/>
            <w:vAlign w:val="top"/>
          </w:tcPr>
          <w:p w14:paraId="0908B0EE">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动植物油</w:t>
            </w:r>
          </w:p>
        </w:tc>
        <w:tc>
          <w:tcPr>
            <w:tcW w:w="2212" w:type="dxa"/>
            <w:noWrap w:val="0"/>
            <w:vAlign w:val="center"/>
          </w:tcPr>
          <w:p w14:paraId="26992AD6">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200</w:t>
            </w:r>
          </w:p>
        </w:tc>
        <w:tc>
          <w:tcPr>
            <w:tcW w:w="2167" w:type="dxa"/>
            <w:noWrap w:val="0"/>
            <w:vAlign w:val="center"/>
          </w:tcPr>
          <w:p w14:paraId="449532C7">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p>
        </w:tc>
        <w:tc>
          <w:tcPr>
            <w:tcW w:w="2331" w:type="dxa"/>
            <w:tcBorders>
              <w:right w:val="single" w:color="auto" w:sz="4" w:space="0"/>
            </w:tcBorders>
            <w:noWrap w:val="0"/>
            <w:vAlign w:val="center"/>
          </w:tcPr>
          <w:p w14:paraId="51B475D9">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p>
        </w:tc>
      </w:tr>
      <w:tr w14:paraId="29E01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55" w:type="dxa"/>
            <w:tcBorders>
              <w:left w:val="single" w:color="auto" w:sz="4" w:space="0"/>
            </w:tcBorders>
            <w:shd w:val="clear" w:color="auto" w:fill="E0E0E0"/>
            <w:noWrap w:val="0"/>
            <w:vAlign w:val="top"/>
          </w:tcPr>
          <w:p w14:paraId="0DB86DD0">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氨氮</w:t>
            </w:r>
          </w:p>
        </w:tc>
        <w:tc>
          <w:tcPr>
            <w:tcW w:w="2212" w:type="dxa"/>
            <w:noWrap w:val="0"/>
            <w:vAlign w:val="center"/>
          </w:tcPr>
          <w:p w14:paraId="32572737">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200</w:t>
            </w:r>
          </w:p>
        </w:tc>
        <w:tc>
          <w:tcPr>
            <w:tcW w:w="2167" w:type="dxa"/>
            <w:noWrap w:val="0"/>
            <w:vAlign w:val="center"/>
          </w:tcPr>
          <w:p w14:paraId="6848632C">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2331" w:type="dxa"/>
            <w:tcBorders>
              <w:right w:val="single" w:color="auto" w:sz="4" w:space="0"/>
            </w:tcBorders>
            <w:noWrap w:val="0"/>
            <w:vAlign w:val="center"/>
          </w:tcPr>
          <w:p w14:paraId="7D81E28B">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≤15</w:t>
            </w:r>
          </w:p>
        </w:tc>
      </w:tr>
      <w:tr w14:paraId="3E341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55" w:type="dxa"/>
            <w:tcBorders>
              <w:left w:val="single" w:color="auto" w:sz="4" w:space="0"/>
            </w:tcBorders>
            <w:shd w:val="clear" w:color="auto" w:fill="E0E0E0"/>
            <w:noWrap w:val="0"/>
            <w:vAlign w:val="top"/>
          </w:tcPr>
          <w:p w14:paraId="2539F5C5">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大肠杆菌（个/L）</w:t>
            </w:r>
          </w:p>
        </w:tc>
        <w:tc>
          <w:tcPr>
            <w:tcW w:w="2212" w:type="dxa"/>
            <w:noWrap w:val="0"/>
            <w:vAlign w:val="center"/>
          </w:tcPr>
          <w:p w14:paraId="0CC15086">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≤1.6*10</w:t>
            </w:r>
            <w:r>
              <w:rPr>
                <w:rFonts w:hint="eastAsia" w:ascii="宋体" w:hAnsi="宋体" w:eastAsia="宋体" w:cs="宋体"/>
                <w:color w:val="auto"/>
                <w:sz w:val="30"/>
                <w:szCs w:val="30"/>
                <w:highlight w:val="none"/>
                <w:vertAlign w:val="superscript"/>
              </w:rPr>
              <w:t>6</w:t>
            </w:r>
          </w:p>
        </w:tc>
        <w:tc>
          <w:tcPr>
            <w:tcW w:w="2167" w:type="dxa"/>
            <w:noWrap w:val="0"/>
            <w:vAlign w:val="center"/>
          </w:tcPr>
          <w:p w14:paraId="3ADDCA1A">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5000</w:t>
            </w:r>
          </w:p>
        </w:tc>
        <w:tc>
          <w:tcPr>
            <w:tcW w:w="2331" w:type="dxa"/>
            <w:tcBorders>
              <w:right w:val="single" w:color="auto" w:sz="4" w:space="0"/>
            </w:tcBorders>
            <w:noWrap w:val="0"/>
            <w:vAlign w:val="center"/>
          </w:tcPr>
          <w:p w14:paraId="1D964E95">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≤500</w:t>
            </w:r>
          </w:p>
        </w:tc>
      </w:tr>
      <w:tr w14:paraId="0E511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55" w:type="dxa"/>
            <w:tcBorders>
              <w:left w:val="single" w:color="auto" w:sz="4" w:space="0"/>
              <w:bottom w:val="single" w:color="auto" w:sz="4" w:space="0"/>
            </w:tcBorders>
            <w:shd w:val="clear" w:color="auto" w:fill="E0E0E0"/>
            <w:noWrap w:val="0"/>
            <w:vAlign w:val="top"/>
          </w:tcPr>
          <w:p w14:paraId="2C28D757">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PH</w:t>
            </w:r>
          </w:p>
        </w:tc>
        <w:tc>
          <w:tcPr>
            <w:tcW w:w="2212" w:type="dxa"/>
            <w:tcBorders>
              <w:bottom w:val="single" w:color="auto" w:sz="4" w:space="0"/>
            </w:tcBorders>
            <w:noWrap w:val="0"/>
            <w:vAlign w:val="center"/>
          </w:tcPr>
          <w:p w14:paraId="68A510D2">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w:t>
            </w:r>
            <w:r>
              <w:rPr>
                <w:rFonts w:hint="eastAsia" w:ascii="宋体" w:hAnsi="宋体" w:eastAsia="宋体" w:cs="宋体"/>
                <w:color w:val="auto"/>
                <w:sz w:val="30"/>
                <w:szCs w:val="30"/>
                <w:highlight w:val="none"/>
              </w:rPr>
              <w:sym w:font="Kino MT" w:char="007E"/>
            </w:r>
            <w:r>
              <w:rPr>
                <w:rFonts w:hint="eastAsia" w:ascii="宋体" w:hAnsi="宋体" w:eastAsia="宋体" w:cs="宋体"/>
                <w:color w:val="auto"/>
                <w:sz w:val="30"/>
                <w:szCs w:val="30"/>
                <w:highlight w:val="none"/>
              </w:rPr>
              <w:t>9</w:t>
            </w:r>
          </w:p>
        </w:tc>
        <w:tc>
          <w:tcPr>
            <w:tcW w:w="2167" w:type="dxa"/>
            <w:tcBorders>
              <w:bottom w:val="single" w:color="auto" w:sz="4" w:space="0"/>
            </w:tcBorders>
            <w:noWrap w:val="0"/>
            <w:vAlign w:val="center"/>
          </w:tcPr>
          <w:p w14:paraId="09AD6AD3">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w:t>
            </w:r>
            <w:r>
              <w:rPr>
                <w:rFonts w:hint="eastAsia" w:ascii="宋体" w:hAnsi="宋体" w:eastAsia="宋体" w:cs="宋体"/>
                <w:color w:val="auto"/>
                <w:sz w:val="30"/>
                <w:szCs w:val="30"/>
                <w:highlight w:val="none"/>
              </w:rPr>
              <w:sym w:font="Kino MT" w:char="007E"/>
            </w:r>
            <w:r>
              <w:rPr>
                <w:rFonts w:hint="eastAsia" w:ascii="宋体" w:hAnsi="宋体" w:eastAsia="宋体" w:cs="宋体"/>
                <w:color w:val="auto"/>
                <w:sz w:val="30"/>
                <w:szCs w:val="30"/>
                <w:highlight w:val="none"/>
              </w:rPr>
              <w:t>9</w:t>
            </w:r>
          </w:p>
        </w:tc>
        <w:tc>
          <w:tcPr>
            <w:tcW w:w="2331" w:type="dxa"/>
            <w:tcBorders>
              <w:bottom w:val="single" w:color="auto" w:sz="4" w:space="0"/>
              <w:right w:val="single" w:color="auto" w:sz="4" w:space="0"/>
            </w:tcBorders>
            <w:noWrap w:val="0"/>
            <w:vAlign w:val="center"/>
          </w:tcPr>
          <w:p w14:paraId="01BAEFC6">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w:t>
            </w:r>
            <w:r>
              <w:rPr>
                <w:rFonts w:hint="eastAsia" w:ascii="宋体" w:hAnsi="宋体" w:eastAsia="宋体" w:cs="宋体"/>
                <w:color w:val="auto"/>
                <w:sz w:val="30"/>
                <w:szCs w:val="30"/>
                <w:highlight w:val="none"/>
              </w:rPr>
              <w:sym w:font="Kino MT" w:char="007E"/>
            </w:r>
            <w:r>
              <w:rPr>
                <w:rFonts w:hint="eastAsia" w:ascii="宋体" w:hAnsi="宋体" w:eastAsia="宋体" w:cs="宋体"/>
                <w:color w:val="auto"/>
                <w:sz w:val="30"/>
                <w:szCs w:val="30"/>
                <w:highlight w:val="none"/>
              </w:rPr>
              <w:t>9</w:t>
            </w:r>
          </w:p>
        </w:tc>
      </w:tr>
    </w:tbl>
    <w:p w14:paraId="4445B507">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注：设计出水水质达到中华人民共和国(GB18466-2005)《医疗机构水污染物排放标准》预处理标准。</w:t>
      </w:r>
    </w:p>
    <w:p w14:paraId="20B8794D">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七、污水处理工艺流程图</w:t>
      </w:r>
    </w:p>
    <w:p w14:paraId="1A5D43EC">
      <w:pPr>
        <w:pStyle w:val="11"/>
        <w:numPr>
          <w:ilvl w:val="0"/>
          <w:numId w:val="0"/>
        </w:numPr>
        <w:rPr>
          <w:sz w:val="21"/>
          <w:szCs w:val="21"/>
        </w:rPr>
      </w:pPr>
      <w:r>
        <w:rPr>
          <w:rFonts w:hint="eastAsia" w:ascii="宋体" w:hAnsi="宋体" w:eastAsia="宋体" w:cs="宋体"/>
          <w:color w:val="auto"/>
          <w:sz w:val="21"/>
          <w:szCs w:val="21"/>
          <w:highlight w:val="none"/>
          <w:lang w:eastAsia="zh-CN"/>
        </w:rPr>
        <w:drawing>
          <wp:inline distT="0" distB="0" distL="114300" distR="114300">
            <wp:extent cx="5600065" cy="1524000"/>
            <wp:effectExtent l="0" t="0" r="63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600065" cy="1524000"/>
                    </a:xfrm>
                    <a:prstGeom prst="rect">
                      <a:avLst/>
                    </a:prstGeom>
                    <a:noFill/>
                    <a:ln>
                      <a:noFill/>
                    </a:ln>
                  </pic:spPr>
                </pic:pic>
              </a:graphicData>
            </a:graphic>
          </wp:inline>
        </w:drawing>
      </w:r>
    </w:p>
    <w:p w14:paraId="0F098ED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八、项目运行要求</w:t>
      </w:r>
    </w:p>
    <w:p w14:paraId="5D52A6F9">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废水处理站聘用人员的管理及工资发放由供应商负责，供应商聘用人员应符合政府环保部门的要求并具有相应资质和上岗资格。在运行过程中，供应商操作人员必须遵守医院的各项规章制度，在运行过程中出现任何人身意外伤害与医院无关。</w:t>
      </w:r>
    </w:p>
    <w:p w14:paraId="41CB7A77">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2.严格按照操作规程进行操作，按时定期定量加药，确保废水排放水质达标。因人为操作不当和药品质量引起的环保检查超标罚款由供应商承担。</w:t>
      </w:r>
    </w:p>
    <w:p w14:paraId="510ED471">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3.供应商负责废水处理设备正常运行，同时担负正常运行中的分析化验，定时采样化验，一般情况下每天检测2次。</w:t>
      </w:r>
    </w:p>
    <w:p w14:paraId="23ED6256">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4.废水处理设备维修保养的主要内容</w:t>
      </w:r>
    </w:p>
    <w:p w14:paraId="64FA2CF2">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(1)日常保养：定期对设备的清洁、检修，加油等外部维护。</w:t>
      </w:r>
    </w:p>
    <w:p w14:paraId="1FBE675A">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(2)一级保养；定期对设备的易损零部件进行的检查、保养，包括清洁、润滑、设备局部和重点的折卸、调整等。</w:t>
      </w:r>
    </w:p>
    <w:p w14:paraId="42EE7A33">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(3)二级保养：对设备进行严格的检查和修理，包括更换零部件，修复设备的精度等。</w:t>
      </w:r>
    </w:p>
    <w:p w14:paraId="5AAAF2F3">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(4)小修：局部性修理，先进行局部修理，更换和调整。</w:t>
      </w:r>
    </w:p>
    <w:p w14:paraId="5FF81FED">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(5)废水处理所需的消毒药物由供应商采购。</w:t>
      </w:r>
    </w:p>
    <w:p w14:paraId="6007A311">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5.污水处理站维护人员要求</w:t>
      </w:r>
    </w:p>
    <w:p w14:paraId="355EDDA8">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(1)应制定日常管理制度、值班人员职责、操作规程等工作制度。</w:t>
      </w:r>
    </w:p>
    <w:p w14:paraId="6F1C3DD4">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(2)废水处理设备需要免费安排专人值班，24小时必须在岗，定时定点投放药品，保证及时发现故障信息并做好紧急联络工作和紧急维修处理的及时性。</w:t>
      </w:r>
    </w:p>
    <w:p w14:paraId="4DB95C24">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(3)值班人员应认真记录废水处理设备每日运行情况。</w:t>
      </w:r>
    </w:p>
    <w:p w14:paraId="03B82129">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(4)派驻现场的值班人员、化验员和维修保养人员具有相关专业的上岗证。项目负责人要具有丰富的废水处理系统维保工作经验。其他技术人员应为具有相关专业工作经验的熟练技术工人。</w:t>
      </w:r>
    </w:p>
    <w:p w14:paraId="652DEBDF">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(5)供应商派驻现场的维保人员需遵守医院的规章制度，服从医院的指挥和管理。</w:t>
      </w:r>
    </w:p>
    <w:p w14:paraId="6B1D14D7">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(6)维保人员在实施维保过程中，因操作不当导致事故的，由供应商负全部责任。</w:t>
      </w:r>
    </w:p>
    <w:p w14:paraId="3D26E836">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(7)如果供应商没有及时并按要求完成维保工作，出现事故或安全隐患给医院或第三人造成损失的，供应商应负责全部赔偿。</w:t>
      </w:r>
    </w:p>
    <w:p w14:paraId="74E09B25">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(8)如果维修工作影响到医院的正常工作或暂停使用废水处理系统时，供应商应提前向医院书面申请，经医院同意后，方可进行维修。</w:t>
      </w:r>
    </w:p>
    <w:p w14:paraId="3BD6FF1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九、项目管理工作要求</w:t>
      </w:r>
    </w:p>
    <w:p w14:paraId="79B3F80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1.做好设备的日常维护与保养,确保设备的正常运转。</w:t>
      </w:r>
    </w:p>
    <w:p w14:paraId="094EBFDB">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2.负责设备的检修与维修，设备运行出现故障应立即处理解决，如因供应商未及时发现问题造成设备较大损失，应承担相应的部分责任;工作人员操作设备、检修与维修时,应做好安全防范措施,注意人身安全。</w:t>
      </w:r>
    </w:p>
    <w:p w14:paraId="1A4F0C56">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3.每日应对设备进行巡视检查,并做好运行记录,保证数据的准确,做好台账,定期对水池进行清扫、检验与标定；有故障时对故障现象的分析与部件的更换、以及检修后检验情况等。</w:t>
      </w:r>
    </w:p>
    <w:p w14:paraId="6A370BF6">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4.保证废水达标排放达到中华人民共和国《医疗机构水污染物排放标准》（GB18466-2005）预处理标准，排污费及超标排污费由供应商承担。</w:t>
      </w:r>
    </w:p>
    <w:p w14:paraId="5F5350AB">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本项目运营、各项设备的配件维修维护和更换实行包干制，包含但不限于废水处理药剂和配套设施配件、技术管理、人员值班、废水设施维保及作业、劳保用品、交通运输、各项设备的维修维护以及更换、各项税费等，作业单位需保证出水水质达标，做到以下要求：</w:t>
      </w:r>
    </w:p>
    <w:p w14:paraId="27F7F789">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(1)每天打扫污水处理站值班室卫生，保持场地清洁。</w:t>
      </w:r>
    </w:p>
    <w:p w14:paraId="0434F6E6">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(2)每天对污水处理站机械栅格进行清理，清理出来的垃圾需由有资质的公司进行处理。</w:t>
      </w:r>
    </w:p>
    <w:p w14:paraId="5C7B901F">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(3)每班交接后检查各电动设备是否正常，检查废水泵是否堵塞，交班前检查废水泵的浮球，防止失灵。</w:t>
      </w:r>
    </w:p>
    <w:p w14:paraId="45AAF60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(4)每两个小时巡查一次，记录好设备运行情况，每天做好设备运营记录、维保维修记录、交接班记录等。</w:t>
      </w:r>
    </w:p>
    <w:p w14:paraId="7AA848D1">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(5)执行《医疗机构水污染物排放标准》（GB18466-2005）的排放标准，每天进行两次 pH 值、余氯检测，每月、每季度、每半年按国家排污许可证及自行监测要求进行监测。</w:t>
      </w:r>
    </w:p>
    <w:p w14:paraId="2809312E">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(6)每周对所有设备进行一次例行检修、保养；每月给污水处理站风机更换机油，对所有设备进行一次全面检修、维保。</w:t>
      </w:r>
    </w:p>
    <w:p w14:paraId="3A7EDD0C">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(7)供应商进行的污水监测包括：PH、余氯每天2次，大肠杆菌每月1次，沙门氏菌每季度1次，志贺氏菌每半年1次，其中沙门氏菌、志贺氏菌必须由第三方监测机构进行监测，并出具监测报告。供应商进行的污水监测包括：每月一次：粪大肠菌群数；每季度一次：沙门氏菌、动植物油、石油类、阴离子表面活性剂、挥发酚、总氰化物、五日生化需氧量；每半年一次：动植物油、石油类、阴离子表面活性剂、挥发酚、总氰化物、志贺氏菌、沙门氏菌、五日生化需氧量；每年月检、季度检、半年检均委托第三方资质单位对排放水质进行检测（费用由供应商承担），检测指标包括COD、BOD、粪大肠菌群数等。甲烷、臭气浓度（四次最大值）、氨气、氯气、硫化氢（四个点）；每季度测定昼夜间噪音（四个点）每季度检测一次，并出具监测报告。</w:t>
      </w:r>
    </w:p>
    <w:p w14:paraId="5499CBD8">
      <w:pPr>
        <w:ind w:firstLine="640" w:firstLineChars="200"/>
        <w:rPr>
          <w:rFonts w:hint="eastAsia" w:ascii="仿宋_GB2312" w:hAnsi="Calibri" w:eastAsia="仿宋_GB2312" w:cs="Times New Roman"/>
          <w:sz w:val="32"/>
          <w:szCs w:val="21"/>
          <w:lang w:val="en-US" w:eastAsia="zh-CN"/>
        </w:rPr>
      </w:pPr>
      <w:r>
        <w:rPr>
          <w:rFonts w:hint="eastAsia" w:ascii="仿宋_GB2312" w:hAnsi="Calibri" w:eastAsia="仿宋_GB2312" w:cs="Times New Roman"/>
          <w:sz w:val="32"/>
          <w:szCs w:val="21"/>
          <w:lang w:val="en-US" w:eastAsia="zh-CN"/>
        </w:rPr>
        <w:t>(8)每个月将所有的巡查、维保维修，定时/定期检测水质报告等全部资料按要求做好装订成册、归档等与污水处理站运营管理相关的其他工作。</w:t>
      </w:r>
    </w:p>
    <w:p w14:paraId="0085FE84">
      <w:pPr>
        <w:ind w:firstLine="640" w:firstLineChars="200"/>
        <w:rPr>
          <w:rFonts w:hint="eastAsia" w:ascii="仿宋_GB2312" w:hAnsi="Calibri" w:eastAsia="仿宋_GB2312" w:cs="Times New Roman"/>
          <w:sz w:val="32"/>
          <w:szCs w:val="21"/>
          <w:lang w:val="en-US" w:eastAsia="zh-CN"/>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Kino MT">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CFC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6411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F6411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92FF">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D22ED"/>
    <w:multiLevelType w:val="singleLevel"/>
    <w:tmpl w:val="CC9D22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C57B1"/>
    <w:rsid w:val="107E5E76"/>
    <w:rsid w:val="12EE1D56"/>
    <w:rsid w:val="1D9F64B5"/>
    <w:rsid w:val="21380A48"/>
    <w:rsid w:val="41317E02"/>
    <w:rsid w:val="4B771FE9"/>
    <w:rsid w:val="540C1E9C"/>
    <w:rsid w:val="58D40B0F"/>
    <w:rsid w:val="636D3D88"/>
    <w:rsid w:val="6CD73DE8"/>
    <w:rsid w:val="798219D5"/>
    <w:rsid w:val="7C21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3"/>
    <w:basedOn w:val="1"/>
    <w:unhideWhenUsed/>
    <w:qFormat/>
    <w:uiPriority w:val="99"/>
    <w:pPr>
      <w:ind w:left="100" w:leftChars="400" w:hanging="200" w:hangingChars="200"/>
      <w:contextualSpacing/>
    </w:pPr>
  </w:style>
  <w:style w:type="paragraph" w:styleId="3">
    <w:name w:val="annotation text"/>
    <w:basedOn w:val="1"/>
    <w:qFormat/>
    <w:uiPriority w:val="0"/>
    <w:pPr>
      <w:jc w:val="left"/>
    </w:pPr>
  </w:style>
  <w:style w:type="paragraph" w:styleId="4">
    <w:name w:val="Body Text"/>
    <w:basedOn w:val="1"/>
    <w:qFormat/>
    <w:uiPriority w:val="0"/>
    <w:pPr>
      <w:spacing w:after="120"/>
    </w:pPr>
    <w:rPr>
      <w:kern w:val="0"/>
      <w:sz w:val="2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font01"/>
    <w:basedOn w:val="10"/>
    <w:qFormat/>
    <w:uiPriority w:val="0"/>
    <w:rPr>
      <w:rFonts w:hint="eastAsia" w:ascii="宋体" w:hAnsi="宋体" w:eastAsia="宋体" w:cs="宋体"/>
      <w:b/>
      <w:color w:val="000000"/>
      <w:kern w:val="2"/>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3248</Words>
  <Characters>3463</Characters>
  <Lines>0</Lines>
  <Paragraphs>0</Paragraphs>
  <TotalTime>26</TotalTime>
  <ScaleCrop>false</ScaleCrop>
  <LinksUpToDate>false</LinksUpToDate>
  <CharactersWithSpaces>3483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мìττý</cp:lastModifiedBy>
  <dcterms:modified xsi:type="dcterms:W3CDTF">2025-08-08T08:56:13Z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eyJoZGlkIjoiNmM3OTI1NDk3M2U1M2M4YzY1ZjFmOTc5ZWE5MzZiYzUiLCJ1c2VySWQiOiIzMzc0NDkxODMifQ==</vt:lpwstr>
  </property>
  <property fmtid="{D5CDD505-2E9C-101B-9397-08002B2CF9AE}" pid="4" name="ICV">
    <vt:lpwstr>9C55A598DA1D466AA542F5050E191608_12</vt:lpwstr>
  </property>
</Properties>
</file>